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0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Baustein 4: Gerüst der Aufklärungsrüge in der Rechtsbeschwerdebegründung</w:t>
      </w:r>
    </w:p>
    <w:p>
      <w:pPr>
        <w:spacing w:after="160" w:line="276"/>
      </w:pPr>
      <w:r>
        <w:rPr>
          <w:rFonts w:ascii="Arial" w:cs="Arial" w:eastAsia="Arial" w:hAnsi="Arial"/>
          <w:sz w:val="22"/>
          <w:szCs w:val="22"/>
        </w:rPr>
        <w:t xml:space="preserve">Verfahrensrüge: Verletzung der Aufklärungspflicht (§ 77 Abs. 1 OWiG, § 244 Abs. 2 StPO i. V. m. § 71 Abs. 1 OWiG) durch rechtsfehlerhafte Ablehnung eines Beweisantrags</w:t>
      </w:r>
    </w:p>
    <w:p>
      <w:pPr>
        <w:spacing w:after="0" w:line="276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spacing w:after="160" w:line="276"/>
      </w:pPr>
      <w:r>
        <w:rPr>
          <w:rFonts w:ascii="Arial" w:cs="Arial" w:eastAsia="Arial" w:hAnsi="Arial"/>
          <w:sz w:val="22"/>
          <w:szCs w:val="22"/>
        </w:rPr>
        <w:t xml:space="preserve">1. Verfahrenstatsachen</w:t>
      </w:r>
    </w:p>
    <w:p>
      <w:pPr>
        <w:spacing w:after="160" w:line="276"/>
      </w:pPr>
      <w:r>
        <w:rPr>
          <w:rFonts w:ascii="Arial" w:cs="Arial" w:eastAsia="Arial" w:hAnsi="Arial"/>
          <w:sz w:val="22"/>
          <w:szCs w:val="22"/>
        </w:rPr>
        <w:t xml:space="preserve">In der Hauptverhandlung vom [Datum] hat der Verteidiger folgenden Beweisantrag gestellt (Protokoll S. [X]):</w:t>
      </w:r>
    </w:p>
    <w:p>
      <w:pPr>
        <w:spacing w:after="160" w:line="276"/>
      </w:pPr>
      <w:r>
        <w:rPr>
          <w:rFonts w:ascii="Arial" w:cs="Arial" w:eastAsia="Arial" w:hAnsi="Arial"/>
          <w:sz w:val="22"/>
          <w:szCs w:val="22"/>
        </w:rPr>
        <w:t xml:space="preserve">„[Beweisantrag im vollständigen Wortlaut einschließlich Begründung]“</w:t>
      </w:r>
    </w:p>
    <w:p>
      <w:pPr>
        <w:spacing w:after="160" w:line="276"/>
      </w:pPr>
      <w:r>
        <w:rPr>
          <w:rFonts w:ascii="Arial" w:cs="Arial" w:eastAsia="Arial" w:hAnsi="Arial"/>
          <w:sz w:val="22"/>
          <w:szCs w:val="22"/>
        </w:rPr>
        <w:t xml:space="preserve">Das Amtsgericht hat den Antrag durch folgenden Beschluss abgelehnt (Protokoll S. [X]):</w:t>
      </w:r>
    </w:p>
    <w:p>
      <w:pPr>
        <w:spacing w:after="160" w:line="276"/>
      </w:pPr>
      <w:r>
        <w:rPr>
          <w:rFonts w:ascii="Arial" w:cs="Arial" w:eastAsia="Arial" w:hAnsi="Arial"/>
          <w:sz w:val="22"/>
          <w:szCs w:val="22"/>
        </w:rPr>
        <w:t xml:space="preserve">„[Beschluss im vollständigen Wortlaut]“</w:t>
      </w:r>
    </w:p>
    <w:p>
      <w:pPr>
        <w:spacing w:after="160" w:line="276"/>
      </w:pPr>
      <w:r>
        <w:rPr>
          <w:rFonts w:ascii="Arial" w:cs="Arial" w:eastAsia="Arial" w:hAnsi="Arial"/>
          <w:sz w:val="22"/>
          <w:szCs w:val="22"/>
        </w:rPr>
        <w:t xml:space="preserve">Die Beweisaufnahme hatte sich zu [Umstand] nicht verhalten. Der Zeuge [Name] hat zu [Umstand] bekundet: „[Wiedergabe nach Protokoll oder Urteil]“. Das als Anlage [X] zum Protokoll genommene Gutachten des Sachverständigen [Name] vom [Datum] enthält unter [Abschnitt] folgende Feststellungen: „[Wiedergabe]“.</w:t>
      </w:r>
    </w:p>
    <w:p>
      <w:pPr>
        <w:spacing w:after="0" w:line="276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spacing w:after="160" w:line="276"/>
      </w:pPr>
      <w:r>
        <w:rPr>
          <w:rFonts w:ascii="Arial" w:cs="Arial" w:eastAsia="Arial" w:hAnsi="Arial"/>
          <w:sz w:val="22"/>
          <w:szCs w:val="22"/>
        </w:rPr>
        <w:t xml:space="preserve">2. Tatsache, die das Gericht hätte aufklären müssen</w:t>
      </w:r>
    </w:p>
    <w:p>
      <w:pPr>
        <w:spacing w:after="160" w:line="276"/>
      </w:pPr>
      <w:r>
        <w:rPr>
          <w:rFonts w:ascii="Arial" w:cs="Arial" w:eastAsia="Arial" w:hAnsi="Arial"/>
          <w:sz w:val="22"/>
          <w:szCs w:val="22"/>
        </w:rPr>
        <w:t xml:space="preserve">[Beweistatsache]</w:t>
      </w:r>
    </w:p>
    <w:p>
      <w:pPr>
        <w:spacing w:after="0" w:line="276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spacing w:after="160" w:line="276"/>
      </w:pPr>
      <w:r>
        <w:rPr>
          <w:rFonts w:ascii="Arial" w:cs="Arial" w:eastAsia="Arial" w:hAnsi="Arial"/>
          <w:sz w:val="22"/>
          <w:szCs w:val="22"/>
        </w:rPr>
        <w:t xml:space="preserve">3. Beweismittel</w:t>
      </w:r>
    </w:p>
    <w:p>
      <w:pPr>
        <w:spacing w:after="160" w:line="276"/>
      </w:pPr>
      <w:r>
        <w:rPr>
          <w:rFonts w:ascii="Arial" w:cs="Arial" w:eastAsia="Arial" w:hAnsi="Arial"/>
          <w:sz w:val="22"/>
          <w:szCs w:val="22"/>
        </w:rPr>
        <w:t xml:space="preserve">Einholung eines Sachverständigengutachtens für Verkehrsmesstechnik [gegebenenfalls: Vernehmung des präsenten Sachverständigen [Name]].</w:t>
      </w:r>
    </w:p>
    <w:p>
      <w:pPr>
        <w:spacing w:after="0" w:line="276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spacing w:after="160" w:line="276"/>
      </w:pPr>
      <w:r>
        <w:rPr>
          <w:rFonts w:ascii="Arial" w:cs="Arial" w:eastAsia="Arial" w:hAnsi="Arial"/>
          <w:sz w:val="22"/>
          <w:szCs w:val="22"/>
        </w:rPr>
        <w:t xml:space="preserve">4. Zu erwartendes Ergebnis</w:t>
      </w:r>
    </w:p>
    <w:p>
      <w:pPr>
        <w:spacing w:after="160" w:line="276"/>
      </w:pPr>
      <w:r>
        <w:rPr>
          <w:rFonts w:ascii="Arial" w:cs="Arial" w:eastAsia="Arial" w:hAnsi="Arial"/>
          <w:sz w:val="22"/>
          <w:szCs w:val="22"/>
        </w:rPr>
        <w:t xml:space="preserve">Der Sachverständige hätte bekundet, dass [Ergebnis], wie sich aus [Privatgutachten, Abschnitt X] ergibt.</w:t>
      </w:r>
    </w:p>
    <w:p>
      <w:pPr>
        <w:spacing w:after="0" w:line="276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spacing w:after="160" w:line="276"/>
      </w:pPr>
      <w:r>
        <w:rPr>
          <w:rFonts w:ascii="Arial" w:cs="Arial" w:eastAsia="Arial" w:hAnsi="Arial"/>
          <w:sz w:val="22"/>
          <w:szCs w:val="22"/>
        </w:rPr>
        <w:t xml:space="preserve">5. Umstände, die zur Beweiserhebung drängten</w:t>
      </w:r>
    </w:p>
    <w:p>
      <w:pPr>
        <w:spacing w:after="160" w:line="276"/>
      </w:pPr>
      <w:r>
        <w:rPr>
          <w:rFonts w:ascii="Arial" w:cs="Arial" w:eastAsia="Arial" w:hAnsi="Arial"/>
          <w:sz w:val="22"/>
          <w:szCs w:val="22"/>
        </w:rPr>
        <w:t xml:space="preserve">[Anhaltspunkte mit Fundstelle; Darlegung, dass die Standardisierung wegen [Umstand] nicht trägt und das Gericht eigene Sachkunde nicht dargelegt hat]</w:t>
      </w:r>
    </w:p>
    <w:p>
      <w:pPr>
        <w:spacing w:after="0" w:line="276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spacing w:after="160" w:line="276"/>
      </w:pPr>
      <w:r>
        <w:rPr>
          <w:rFonts w:ascii="Arial" w:cs="Arial" w:eastAsia="Arial" w:hAnsi="Arial"/>
          <w:sz w:val="22"/>
          <w:szCs w:val="22"/>
        </w:rPr>
        <w:t xml:space="preserve">6. Beruhen</w:t>
      </w:r>
    </w:p>
    <w:p>
      <w:pPr>
        <w:spacing w:after="160" w:line="276"/>
      </w:pPr>
      <w:r>
        <w:rPr>
          <w:rFonts w:ascii="Arial" w:cs="Arial" w:eastAsia="Arial" w:hAnsi="Arial"/>
          <w:sz w:val="22"/>
          <w:szCs w:val="22"/>
        </w:rPr>
        <w:t xml:space="preserve">Bei Erhebung des Beweises hätte das Gericht [Freispruch / Einstellung / niedrigere Geschwindigkeit unterhalb der Fahrverbotsschwelle / höheren Toleranzabzug] nicht ausschließen können.</w:t>
      </w:r>
    </w:p>
    <w:p>
      <w:pPr>
        <w:pBdr>
          <w:top w:val="single" w:color="CCCCCC" w:sz="6" w:space="8"/>
        </w:pBdr>
        <w:spacing w:before="400"/>
      </w:pPr>
      <w:r>
        <w:rPr>
          <w:rFonts w:ascii="Arial" w:cs="Arial" w:eastAsia="Arial" w:hAnsi="Arial"/>
          <w:color w:val="555555"/>
          <w:sz w:val="18"/>
          <w:szCs w:val="18"/>
        </w:rPr>
        <w:t xml:space="preserve">Muster von Verkehrsmesstechnik Nord GbR (verkehrsmesstechnik-nord.de). Unverbindliche Formulierungshilfe, keine Rechtsberatung. Die Platzhalter in eckigen Klammern sind an den Einzelfall anzupassen.</w:t>
      </w:r>
    </w:p>
    <w:sectPr>
      <w:pgSz w:w="11906" w:h="16838" w:orient="portrait"/>
      <w:pgMar w:top="1418" w:right="1418" w:bottom="1418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2026-09-15T08:31:51.995Z</dcterms:created>
  <dcterms:modified xsi:type="dcterms:W3CDTF">2026-09-15T08:31:51.995Z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